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after="0"/>
        <w:rPr>
          <w:b/>
        </w:rPr>
      </w:pPr>
      <w:r>
        <w:rPr>
          <w:b/>
        </w:rPr>
        <w:t xml:space="preserve">Анкета</w:t>
      </w:r>
      <w:r>
        <w:rPr>
          <w:b/>
        </w:rPr>
      </w:r>
      <w:r/>
    </w:p>
    <w:p>
      <w:pPr>
        <w:pStyle w:val="818"/>
        <w:jc w:val="center"/>
        <w:spacing w:after="0"/>
        <w:rPr>
          <w:b/>
        </w:rPr>
      </w:pPr>
      <w:r>
        <w:rPr>
          <w:b/>
        </w:rPr>
        <w:t xml:space="preserve">участника публичных консультаций, проводимых </w:t>
      </w:r>
      <w:r>
        <w:rPr>
          <w:b/>
          <w:bCs/>
        </w:rPr>
        <w:t xml:space="preserve">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</w:t>
      </w:r>
      <w:r>
        <w:rPr>
          <w:b/>
        </w:rPr>
      </w:r>
      <w:r/>
    </w:p>
    <w:p>
      <w:pPr>
        <w:pStyle w:val="825"/>
        <w:numPr>
          <w:ilvl w:val="0"/>
          <w:numId w:val="2"/>
        </w:numPr>
        <w:spacing w:line="276" w:lineRule="auto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публичных консультаций</w:t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Наименование хозяйствующего субъекта (организации)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Сфера деятельности хозяйствующего субъекта (организации)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ИНН хозяйствующего субъекта (организации)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ФИО участника публичных консультаций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Контактный телефон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  <w:tr>
        <w:trPr/>
        <w:tc>
          <w:tcPr>
            <w:tcW w:w="4672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</w:pPr>
            <w:r>
              <w:t xml:space="preserve">Адрес электронной почты</w:t>
            </w:r>
            <w:r/>
          </w:p>
        </w:tc>
        <w:tc>
          <w:tcPr>
            <w:tcW w:w="5217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spacing w:after="0"/>
            </w:pPr>
            <w:r/>
            <w:r/>
          </w:p>
        </w:tc>
      </w:tr>
    </w:tbl>
    <w:p>
      <w:pPr>
        <w:pStyle w:val="818"/>
        <w:jc w:val="center"/>
        <w:spacing w:after="0"/>
      </w:pPr>
      <w:r/>
      <w:r/>
    </w:p>
    <w:p>
      <w:pPr>
        <w:pStyle w:val="818"/>
        <w:jc w:val="center"/>
        <w:spacing w:after="0"/>
      </w:pPr>
      <w:r>
        <w:rPr>
          <w:b/>
        </w:rPr>
        <w:t xml:space="preserve">2. Общие сведения о проекте нормативного правового акта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района «Чернянский район» Белгородской области </w:t>
            </w:r>
            <w:r>
              <w:rPr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муниципального района «Чернянский район» Белгородской области от 27.03.2023 г. № 147 </w:t>
            </w:r>
            <w:r/>
          </w:p>
          <w:p>
            <w:pPr>
              <w:pStyle w:val="818"/>
              <w:jc w:val="center"/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(наименование проекта нормативного правового акта администрации Чернянского района до размещения формы на официальном сайте)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Могут ли положения проекта нормативного правового акта оказать влияние на конкуренцию на рынках товаров, работ, услуг Чернянского района?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Присутствуют ли в проекте нормативного правового акта положения, которые могут оказать негативное влияние на конкуренцию на рынках товаров, работ, услуг Чернянского района?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>
              <w:t xml:space="preserve">3. </w:t>
            </w:r>
            <w:r>
              <w:rPr>
                <w:color w:val="000000"/>
                <w:lang w:eastAsia="en-US"/>
              </w:rPr>
              <w:t xml:space="preserve">Какие положения проекта нормативного правового акта могут привести к недопущению, ограничению или устранению конкуренции на рынках товаров, работ, услуг Чернянского района? </w:t>
            </w:r>
            <w:r>
              <w:t xml:space="preserve">Укажите номер подпункта, пункта, части, статьи проекта </w:t>
            </w:r>
            <w:r>
              <w:rPr>
                <w:color w:val="000000"/>
                <w:lang w:eastAsia="en-US"/>
              </w:rPr>
              <w:t xml:space="preserve">нормативного правового акта и их содержание.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>
              <w:t xml:space="preserve">4. 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lang w:eastAsia="en-US"/>
              </w:rPr>
              <w:t xml:space="preserve">нормативного правового акта?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>
              <w:t xml:space="preserve">5. Какие положения антимонопольного законодательства могут быть нарушены?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>
              <w:t xml:space="preserve">6. Какие возможны негативные последствия для конкуренции в случае принятия нормативного правового акта в данной редакции?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>
              <w:t xml:space="preserve">7.Ваши замечания и предложения по </w:t>
            </w:r>
            <w:r>
              <w:rPr>
                <w:color w:val="000000"/>
                <w:lang w:eastAsia="en-US"/>
              </w:rPr>
              <w:t xml:space="preserve">проекту нормативного правового акта </w:t>
            </w:r>
            <w: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lang w:eastAsia="en-US"/>
              </w:rPr>
              <w:t xml:space="preserve">:</w:t>
            </w:r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tabs>
                <w:tab w:val="left" w:pos="2940" w:leader="none"/>
              </w:tabs>
            </w:pPr>
            <w:r/>
            <w:r/>
          </w:p>
        </w:tc>
      </w:tr>
      <w:tr>
        <w:trPr/>
        <w:tc>
          <w:tcPr>
            <w:tcW w:w="9854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spacing w:after="0"/>
              <w:rPr>
                <w:color w:val="00000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t xml:space="preserve">Замечания и предложения принимаются по адресу: </w:t>
            </w:r>
            <w:r>
              <w:t xml:space="preserve">Белгородская область, п. Чернянка, пл. Октябрьская д. </w:t>
            </w:r>
            <w:r>
              <w:t xml:space="preserve">13</w:t>
            </w:r>
            <w:r>
              <w:t xml:space="preserve">, а также по адресу электронной почты: </w:t>
            </w:r>
            <w:r>
              <w:rPr>
                <w:color w:val="244061"/>
                <w:u w:val="single"/>
                <w:lang w:val="en-US"/>
              </w:rPr>
              <w:t xml:space="preserve">yristoks</w:t>
            </w:r>
            <w:r>
              <w:rPr>
                <w:color w:val="244061"/>
              </w:rPr>
              <w:fldChar w:fldCharType="begin"/>
            </w:r>
            <w:r>
              <w:rPr>
                <w:color w:val="244061"/>
              </w:rPr>
              <w:instrText xml:space="preserve">HYPERLINK "https://e.mail.ru/compose/?mailto=mailto%3aelfimov@ch.belregion.ru" \t "_blank"</w:instrText>
            </w:r>
            <w:r>
              <w:rPr>
                <w:color w:val="244061"/>
              </w:rPr>
              <w:fldChar w:fldCharType="separate"/>
            </w:r>
            <w:r>
              <w:rPr>
                <w:color w:val="244061"/>
                <w:u w:val="single"/>
              </w:rPr>
              <w:t xml:space="preserve">@ch.belregion.ru</w:t>
            </w:r>
            <w:r>
              <w:rPr>
                <w:color w:val="244061"/>
              </w:rPr>
              <w:fldChar w:fldCharType="end"/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18"/>
              <w:jc w:val="both"/>
              <w:spacing w:after="0"/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t xml:space="preserve">Сроки приема замечаний и предложений: с 17</w:t>
            </w:r>
            <w:r>
              <w:t xml:space="preserve">.06.2</w:t>
            </w:r>
            <w:r>
              <w:t xml:space="preserve">024</w:t>
            </w:r>
            <w:r>
              <w:t xml:space="preserve"> года по 28</w:t>
            </w:r>
            <w:r>
              <w:t xml:space="preserve">.06</w:t>
            </w:r>
            <w:r>
              <w:t xml:space="preserve">.2024</w:t>
            </w:r>
            <w:r>
              <w:t xml:space="preserve"> </w:t>
            </w:r>
            <w:r>
              <w:t xml:space="preserve">года.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567" w:bottom="851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pPr>
      <w:spacing w:after="200" w:line="276" w:lineRule="auto"/>
    </w:pPr>
    <w:rPr>
      <w:rFonts w:eastAsia="Times New Roman"/>
      <w:sz w:val="24"/>
      <w:szCs w:val="24"/>
      <w:lang w:val="ru-RU" w:eastAsia="ru-RU" w:bidi="ar-SA"/>
    </w:rPr>
  </w:style>
  <w:style w:type="character" w:styleId="819">
    <w:name w:val="Основной шрифт абзаца"/>
    <w:next w:val="819"/>
    <w:link w:val="818"/>
  </w:style>
  <w:style w:type="table" w:styleId="820">
    <w:name w:val="Обычная таблица"/>
    <w:next w:val="820"/>
    <w:link w:val="818"/>
    <w:semiHidden/>
    <w:tblPr/>
  </w:style>
  <w:style w:type="numbering" w:styleId="821">
    <w:name w:val="Нет списка"/>
    <w:next w:val="821"/>
    <w:link w:val="818"/>
    <w:semiHidden/>
  </w:style>
  <w:style w:type="paragraph" w:styleId="822">
    <w:name w:val="Стиль1"/>
    <w:basedOn w:val="818"/>
    <w:next w:val="822"/>
    <w:link w:val="824"/>
    <w:pPr>
      <w:ind w:firstLine="709"/>
      <w:jc w:val="both"/>
      <w:spacing w:after="0" w:line="240" w:lineRule="auto"/>
    </w:pPr>
    <w:rPr>
      <w:rFonts w:eastAsia="Calibri"/>
      <w:lang w:val="en-US" w:eastAsia="en-US"/>
    </w:rPr>
  </w:style>
  <w:style w:type="paragraph" w:styleId="823">
    <w:name w:val="Без интервала"/>
    <w:next w:val="823"/>
    <w:link w:val="818"/>
    <w:pPr>
      <w:ind w:firstLine="709"/>
      <w:jc w:val="both"/>
      <w:spacing w:after="200"/>
    </w:pPr>
    <w:rPr>
      <w:rFonts w:eastAsia="Times New Roman"/>
      <w:sz w:val="24"/>
      <w:szCs w:val="24"/>
      <w:lang w:val="ru-RU" w:eastAsia="ru-RU" w:bidi="ar-SA"/>
    </w:rPr>
  </w:style>
  <w:style w:type="character" w:styleId="824">
    <w:name w:val="Стиль1 Знак"/>
    <w:next w:val="824"/>
    <w:link w:val="822"/>
    <w:rPr>
      <w:rFonts w:ascii="Times New Roman" w:hAnsi="Times New Roman"/>
      <w:sz w:val="24"/>
      <w:szCs w:val="24"/>
    </w:rPr>
  </w:style>
  <w:style w:type="paragraph" w:styleId="825">
    <w:name w:val="Абзац списка"/>
    <w:basedOn w:val="818"/>
    <w:next w:val="825"/>
    <w:link w:val="818"/>
    <w:pPr>
      <w:contextualSpacing/>
      <w:ind w:left="720"/>
      <w:spacing w:after="0" w:line="240" w:lineRule="auto"/>
      <w:widowControl w:val="off"/>
    </w:pPr>
    <w:rPr>
      <w:sz w:val="20"/>
      <w:szCs w:val="20"/>
    </w:rPr>
  </w:style>
  <w:style w:type="paragraph" w:styleId="826">
    <w:name w:val="Базовый"/>
    <w:next w:val="826"/>
    <w:link w:val="818"/>
    <w:pPr>
      <w:spacing w:after="200" w:line="276" w:lineRule="auto"/>
      <w:tabs>
        <w:tab w:val="left" w:pos="720" w:leader="none"/>
      </w:tabs>
    </w:pPr>
    <w:rPr>
      <w:rFonts w:eastAsia="Times New Roman"/>
      <w:lang w:val="ru-RU" w:eastAsia="zh-CN" w:bidi="ar-SA"/>
    </w:rPr>
  </w:style>
  <w:style w:type="paragraph" w:styleId="827">
    <w:name w:val="ConsPlusNormal"/>
    <w:next w:val="827"/>
    <w:link w:val="818"/>
    <w:pPr>
      <w:ind w:firstLine="720"/>
      <w:spacing w:after="200" w:line="276" w:lineRule="auto"/>
      <w:widowControl w:val="off"/>
      <w:tabs>
        <w:tab w:val="left" w:pos="708" w:leader="none"/>
      </w:tabs>
    </w:pPr>
    <w:rPr>
      <w:rFonts w:ascii="Arial" w:hAnsi="Arial" w:eastAsia="Times New Roman"/>
      <w:lang w:val="ru-RU" w:eastAsia="zh-CN" w:bidi="ar-SA"/>
    </w:rPr>
  </w:style>
  <w:style w:type="character" w:styleId="828">
    <w:name w:val="Основной текст Знак"/>
    <w:basedOn w:val="819"/>
    <w:next w:val="828"/>
    <w:link w:val="829"/>
    <w:semiHidden/>
    <w:rPr>
      <w:rFonts w:ascii="Calibri" w:hAnsi="Calibri" w:eastAsia="Times New Roman"/>
      <w:lang w:eastAsia="ar-SA"/>
    </w:rPr>
  </w:style>
  <w:style w:type="paragraph" w:styleId="829">
    <w:name w:val="Основной текст"/>
    <w:basedOn w:val="818"/>
    <w:next w:val="829"/>
    <w:link w:val="828"/>
    <w:semiHidden/>
    <w:pPr>
      <w:spacing w:after="120"/>
    </w:pPr>
    <w:rPr>
      <w:rFonts w:ascii="Calibri" w:hAnsi="Calibri"/>
      <w:sz w:val="20"/>
      <w:szCs w:val="20"/>
      <w:lang w:eastAsia="ar-SA"/>
    </w:rPr>
  </w:style>
  <w:style w:type="character" w:styleId="830">
    <w:name w:val="Основной текст Знак1"/>
    <w:basedOn w:val="819"/>
    <w:next w:val="830"/>
    <w:link w:val="829"/>
    <w:semiHidden/>
    <w:rPr>
      <w:rFonts w:eastAsia="Times New Roman"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2024-06-14T10:53:45Z</dcterms:modified>
</cp:coreProperties>
</file>